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Arial Narrow" w:cs="Arial Narrow" w:eastAsia="Arial Narrow" w:hAnsi="Arial Narrow"/>
          <w:b w:val="1"/>
          <w:sz w:val="32"/>
          <w:szCs w:val="32"/>
          <w:highlight w:val="white"/>
        </w:rPr>
      </w:pPr>
      <w:r w:rsidDel="00000000" w:rsidR="00000000" w:rsidRPr="00000000">
        <w:rPr>
          <w:rFonts w:ascii="Arial Narrow" w:cs="Arial Narrow" w:eastAsia="Arial Narrow" w:hAnsi="Arial Narrow"/>
          <w:b w:val="1"/>
          <w:sz w:val="32"/>
          <w:szCs w:val="32"/>
          <w:highlight w:val="white"/>
          <w:rtl w:val="0"/>
        </w:rPr>
        <w:t xml:space="preserve">CAF logra histórica demanda en colocación de bonos en Estados Unidos </w:t>
      </w:r>
    </w:p>
    <w:p w:rsidR="00000000" w:rsidDel="00000000" w:rsidP="00000000" w:rsidRDefault="00000000" w:rsidRPr="00000000" w14:paraId="00000001">
      <w:pPr>
        <w:jc w:val="left"/>
        <w:rPr>
          <w:rFonts w:ascii="Arial Narrow" w:cs="Arial Narrow" w:eastAsia="Arial Narrow" w:hAnsi="Arial Narrow"/>
          <w:b w:val="1"/>
          <w:color w:val="5f5f5f"/>
          <w:sz w:val="32"/>
          <w:szCs w:val="32"/>
          <w:highlight w:val="white"/>
        </w:rPr>
      </w:pPr>
      <w:r w:rsidDel="00000000" w:rsidR="00000000" w:rsidRPr="00000000">
        <w:rPr>
          <w:rFonts w:ascii="Arial Narrow" w:cs="Arial Narrow" w:eastAsia="Arial Narrow" w:hAnsi="Arial Narrow"/>
          <w:b w:val="1"/>
          <w:color w:val="5f5f5f"/>
          <w:sz w:val="32"/>
          <w:szCs w:val="32"/>
          <w:highlight w:val="white"/>
          <w:rtl w:val="0"/>
        </w:rPr>
        <w:t xml:space="preserve"> </w:t>
      </w:r>
    </w:p>
    <w:p w:rsidR="00000000" w:rsidDel="00000000" w:rsidP="00000000" w:rsidRDefault="00000000" w:rsidRPr="00000000" w14:paraId="00000002">
      <w:pPr>
        <w:jc w:val="both"/>
        <w:rPr>
          <w:rFonts w:ascii="Arial Narrow" w:cs="Arial Narrow" w:eastAsia="Arial Narrow" w:hAnsi="Arial Narrow"/>
          <w:i w:val="1"/>
          <w:color w:val="7f7f7f"/>
          <w:sz w:val="24"/>
          <w:szCs w:val="24"/>
          <w:highlight w:val="white"/>
        </w:rPr>
      </w:pPr>
      <w:r w:rsidDel="00000000" w:rsidR="00000000" w:rsidRPr="00000000">
        <w:rPr>
          <w:rFonts w:ascii="Arial Narrow" w:cs="Arial Narrow" w:eastAsia="Arial Narrow" w:hAnsi="Arial Narrow"/>
          <w:i w:val="1"/>
          <w:color w:val="7f7f7f"/>
          <w:sz w:val="24"/>
          <w:szCs w:val="24"/>
          <w:highlight w:val="white"/>
          <w:rtl w:val="0"/>
        </w:rPr>
        <w:t xml:space="preserve">La confianza de los inversionistas en la solidez financiera y el impacto de las intervenciones de CAF en el desarrollo sostenible y la integración de América Latina, permitió que se lograra la mayor demanda en la historia de CAF a tasas y plazos favorables.</w:t>
      </w:r>
    </w:p>
    <w:p w:rsidR="00000000" w:rsidDel="00000000" w:rsidP="00000000" w:rsidRDefault="00000000" w:rsidRPr="00000000" w14:paraId="00000003">
      <w:pPr>
        <w:jc w:val="both"/>
        <w:rPr>
          <w:rFonts w:ascii="Arial Narrow" w:cs="Arial Narrow" w:eastAsia="Arial Narrow" w:hAnsi="Arial Narrow"/>
          <w:i w:val="1"/>
          <w:color w:val="7f7f7f"/>
          <w:sz w:val="24"/>
          <w:szCs w:val="24"/>
          <w:highlight w:val="white"/>
        </w:rPr>
      </w:pPr>
      <w:r w:rsidDel="00000000" w:rsidR="00000000" w:rsidRPr="00000000">
        <w:rPr>
          <w:rtl w:val="0"/>
        </w:rPr>
      </w:r>
    </w:p>
    <w:p w:rsidR="00000000" w:rsidDel="00000000" w:rsidP="00000000" w:rsidRDefault="00000000" w:rsidRPr="00000000" w14:paraId="00000004">
      <w:pPr>
        <w:jc w:val="both"/>
        <w:rPr>
          <w:rFonts w:ascii="Arial Narrow" w:cs="Arial Narrow" w:eastAsia="Arial Narrow" w:hAnsi="Arial Narrow"/>
          <w:color w:val="2c2c2b"/>
          <w:sz w:val="24"/>
          <w:szCs w:val="24"/>
          <w:highlight w:val="white"/>
        </w:rPr>
      </w:pPr>
      <w:r w:rsidDel="00000000" w:rsidR="00000000" w:rsidRPr="00000000">
        <w:rPr>
          <w:rFonts w:ascii="Arial Narrow" w:cs="Arial Narrow" w:eastAsia="Arial Narrow" w:hAnsi="Arial Narrow"/>
          <w:color w:val="7f7f7f"/>
          <w:highlight w:val="white"/>
          <w:rtl w:val="0"/>
        </w:rPr>
        <w:t xml:space="preserve">(México, 07 de febrero de 2019)- </w:t>
      </w:r>
      <w:r w:rsidDel="00000000" w:rsidR="00000000" w:rsidRPr="00000000">
        <w:rPr>
          <w:rFonts w:ascii="Arial Narrow" w:cs="Arial Narrow" w:eastAsia="Arial Narrow" w:hAnsi="Arial Narrow"/>
          <w:color w:val="222222"/>
          <w:sz w:val="24"/>
          <w:szCs w:val="24"/>
          <w:highlight w:val="white"/>
          <w:rtl w:val="0"/>
        </w:rPr>
        <w:t xml:space="preserve">CAF –banco de desarrollo de América Latina- concluyó una emisión de deuda en el mercado estadounidense, </w:t>
      </w:r>
      <w:r w:rsidDel="00000000" w:rsidR="00000000" w:rsidRPr="00000000">
        <w:rPr>
          <w:rFonts w:ascii="Arial Narrow" w:cs="Arial Narrow" w:eastAsia="Arial Narrow" w:hAnsi="Arial Narrow"/>
          <w:color w:val="2c2c2b"/>
          <w:sz w:val="24"/>
          <w:szCs w:val="24"/>
          <w:highlight w:val="white"/>
          <w:rtl w:val="0"/>
        </w:rPr>
        <w:t xml:space="preserve">que dio como resultado la colocación de un nuevo bono tamaño benchmark con vencimiento en febrero de 2022 y un cupón de 3,25%, por un monto de USD 1.250 millones. Esta emisión logró la mayor demanda en la historia de CAF con aproximadamente 80 inversionistas registrados en el libro de órdenes por un monto de USD 1.700 millones.</w:t>
      </w:r>
    </w:p>
    <w:p w:rsidR="00000000" w:rsidDel="00000000" w:rsidP="00000000" w:rsidRDefault="00000000" w:rsidRPr="00000000" w14:paraId="00000005">
      <w:pPr>
        <w:jc w:val="both"/>
        <w:rPr>
          <w:rFonts w:ascii="Arial Narrow" w:cs="Arial Narrow" w:eastAsia="Arial Narrow" w:hAnsi="Arial Narrow"/>
          <w:color w:val="222222"/>
          <w:sz w:val="24"/>
          <w:szCs w:val="24"/>
          <w:highlight w:val="white"/>
        </w:rPr>
      </w:pPr>
      <w:r w:rsidDel="00000000" w:rsidR="00000000" w:rsidRPr="00000000">
        <w:rPr>
          <w:rFonts w:ascii="Arial Narrow" w:cs="Arial Narrow" w:eastAsia="Arial Narrow" w:hAnsi="Arial Narrow"/>
          <w:color w:val="222222"/>
          <w:sz w:val="24"/>
          <w:szCs w:val="24"/>
          <w:highlight w:val="white"/>
          <w:rtl w:val="0"/>
        </w:rPr>
        <w:t xml:space="preserve">Después de realizar un ‘road show' por las principales ciudades de Estados Unidos, CAF aprovechó la confianza e interés de los inversionistas y realizó una nueva emisión para aumentar la diversificación de la base de inversionistas institucionales, especialmente bancos centrales, instituciones públicas y administradores de fondos provenientes de Estados Unidos, Europa, África, Medio Oriente y América Latina. Los bancos colocadores fueron Barclays, Goldman Sachs, HSBC y J.P. Morgan.</w:t>
      </w:r>
    </w:p>
    <w:p w:rsidR="00000000" w:rsidDel="00000000" w:rsidP="00000000" w:rsidRDefault="00000000" w:rsidRPr="00000000" w14:paraId="00000006">
      <w:pPr>
        <w:jc w:val="both"/>
        <w:rPr>
          <w:rFonts w:ascii="Arial Narrow" w:cs="Arial Narrow" w:eastAsia="Arial Narrow" w:hAnsi="Arial Narrow"/>
          <w:color w:val="222222"/>
          <w:sz w:val="24"/>
          <w:szCs w:val="24"/>
          <w:highlight w:val="white"/>
        </w:rPr>
      </w:pPr>
      <w:r w:rsidDel="00000000" w:rsidR="00000000" w:rsidRPr="00000000">
        <w:rPr>
          <w:rFonts w:ascii="Arial Narrow" w:cs="Arial Narrow" w:eastAsia="Arial Narrow" w:hAnsi="Arial Narrow"/>
          <w:color w:val="222222"/>
          <w:sz w:val="24"/>
          <w:szCs w:val="24"/>
          <w:highlight w:val="white"/>
          <w:rtl w:val="0"/>
        </w:rPr>
        <w:t xml:space="preserve">“La confianza de los inversionistas en la solidez financiera y el impacto de las intervenciones que financiamos en América Latina en beneficio de la población más vulnerable, nos ha permitido una vez más lograr una colocación a tasas y plazos favorables para atender las necesidades y promover las iniciativas de largo plazo en la región”, afirmó Luis Carranza, presidente ejecutivo de CAF.</w:t>
      </w:r>
    </w:p>
    <w:p w:rsidR="00000000" w:rsidDel="00000000" w:rsidP="00000000" w:rsidRDefault="00000000" w:rsidRPr="00000000" w14:paraId="00000007">
      <w:pPr>
        <w:jc w:val="both"/>
        <w:rPr>
          <w:rFonts w:ascii="Arial Narrow" w:cs="Arial Narrow" w:eastAsia="Arial Narrow" w:hAnsi="Arial Narrow"/>
          <w:color w:val="222222"/>
          <w:sz w:val="24"/>
          <w:szCs w:val="24"/>
          <w:highlight w:val="white"/>
        </w:rPr>
      </w:pPr>
      <w:r w:rsidDel="00000000" w:rsidR="00000000" w:rsidRPr="00000000">
        <w:rPr>
          <w:rFonts w:ascii="Arial Narrow" w:cs="Arial Narrow" w:eastAsia="Arial Narrow" w:hAnsi="Arial Narrow"/>
          <w:color w:val="222222"/>
          <w:sz w:val="24"/>
          <w:szCs w:val="24"/>
          <w:highlight w:val="white"/>
          <w:rtl w:val="0"/>
        </w:rPr>
        <w:t xml:space="preserve">Esta es la segunda colocación de bonos en el comienzo del año, tras la exitosa emisión realizada a finales de enero en el mercado europeo por EUR 750 millones, que también fue sobre demandada a un plazo de 5 años y un cupón de 0,625%.</w:t>
      </w:r>
    </w:p>
    <w:p w:rsidR="00000000" w:rsidDel="00000000" w:rsidP="00000000" w:rsidRDefault="00000000" w:rsidRPr="00000000" w14:paraId="00000008">
      <w:pPr>
        <w:jc w:val="both"/>
        <w:rPr>
          <w:rFonts w:ascii="Arial Narrow" w:cs="Arial Narrow" w:eastAsia="Arial Narrow" w:hAnsi="Arial Narrow"/>
          <w:color w:val="222222"/>
          <w:sz w:val="24"/>
          <w:szCs w:val="24"/>
          <w:highlight w:val="white"/>
        </w:rPr>
      </w:pPr>
      <w:r w:rsidDel="00000000" w:rsidR="00000000" w:rsidRPr="00000000">
        <w:rPr>
          <w:rFonts w:ascii="Arial Narrow" w:cs="Arial Narrow" w:eastAsia="Arial Narrow" w:hAnsi="Arial Narrow"/>
          <w:color w:val="222222"/>
          <w:sz w:val="24"/>
          <w:szCs w:val="24"/>
          <w:highlight w:val="white"/>
          <w:rtl w:val="0"/>
        </w:rPr>
        <w:t xml:space="preserve">Con estos fondos, CAF concentra su estrategia de acción en el desarrollo sostenible de sus 19 países accionistas, mediante el financiamiento de operaciones que promuevan la inclusión social, mejoren la productividad y competitividad de sus sectores económicos, desarrollen su infraestructura económica y social, y apoyen la integración física y fronteriza de la región, entre otros.</w:t>
      </w:r>
    </w:p>
    <w:p w:rsidR="00000000" w:rsidDel="00000000" w:rsidP="00000000" w:rsidRDefault="00000000" w:rsidRPr="00000000" w14:paraId="0000000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Arial Narrow" w:cs="Arial Narrow" w:eastAsia="Arial Narrow" w:hAnsi="Arial Narrow"/>
          <w:color w:val="222222"/>
          <w:sz w:val="16"/>
          <w:szCs w:val="16"/>
        </w:rPr>
      </w:pPr>
      <w:r w:rsidDel="00000000" w:rsidR="00000000" w:rsidRPr="00000000">
        <w:rPr>
          <w:rtl w:val="0"/>
        </w:rPr>
      </w:r>
    </w:p>
    <w:p w:rsidR="00000000" w:rsidDel="00000000" w:rsidP="00000000" w:rsidRDefault="00000000" w:rsidRPr="00000000" w14:paraId="0000000B">
      <w:pPr>
        <w:spacing w:after="160" w:line="259" w:lineRule="auto"/>
        <w:jc w:val="both"/>
        <w:rPr>
          <w:rFonts w:ascii="Arial Narrow" w:cs="Arial Narrow" w:eastAsia="Arial Narrow" w:hAnsi="Arial Narrow"/>
          <w:color w:val="222222"/>
          <w:sz w:val="16"/>
          <w:szCs w:val="16"/>
        </w:rPr>
      </w:pPr>
      <w:r w:rsidDel="00000000" w:rsidR="00000000" w:rsidRPr="00000000">
        <w:rPr>
          <w:rFonts w:ascii="Arial Narrow" w:cs="Arial Narrow" w:eastAsia="Arial Narrow" w:hAnsi="Arial Narrow"/>
          <w:color w:val="222222"/>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w:t>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color w:val="222222"/>
          <w:sz w:val="16"/>
          <w:szCs w:val="16"/>
        </w:rPr>
      </w:pPr>
      <w:r w:rsidDel="00000000" w:rsidR="00000000" w:rsidRPr="00000000">
        <w:rPr>
          <w:rFonts w:ascii="Arial Narrow" w:cs="Arial Narrow" w:eastAsia="Arial Narrow" w:hAnsi="Arial Narrow"/>
          <w:color w:val="222222"/>
          <w:sz w:val="16"/>
          <w:szCs w:val="16"/>
          <w:rtl w:val="0"/>
        </w:rPr>
        <w:t xml:space="preserve">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Calibri" w:cs="Calibri" w:eastAsia="Calibri" w:hAnsi="Calibri"/>
        </w:rPr>
      </w:pPr>
      <w:r w:rsidDel="00000000" w:rsidR="00000000" w:rsidRPr="00000000">
        <w:rPr>
          <w:rFonts w:ascii="Arial Narrow" w:cs="Arial Narrow" w:eastAsia="Arial Narrow" w:hAnsi="Arial Narrow"/>
          <w:color w:val="222222"/>
          <w:sz w:val="16"/>
          <w:szCs w:val="16"/>
          <w:rtl w:val="0"/>
        </w:rPr>
        <w:t xml:space="preserve">CAF, Dirección de Comunicación Estratégica, </w:t>
      </w:r>
      <w:hyperlink r:id="rId7">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0E">
      <w:pPr>
        <w:spacing w:after="160" w:line="259" w:lineRule="auto"/>
        <w:jc w:val="both"/>
        <w:rPr>
          <w:rFonts w:ascii="Arial Narrow" w:cs="Arial Narrow" w:eastAsia="Arial Narrow" w:hAnsi="Arial Narrow"/>
          <w:highlight w:val="white"/>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160" w:line="259" w:lineRule="auto"/>
      <w:jc w:val="center"/>
      <w:rPr/>
    </w:pPr>
    <w:r w:rsidDel="00000000" w:rsidR="00000000" w:rsidRPr="00000000">
      <w:rPr>
        <w:rFonts w:ascii="Calibri" w:cs="Calibri" w:eastAsia="Calibri" w:hAnsi="Calibri"/>
      </w:rPr>
      <w:drawing>
        <wp:inline distB="0" distT="0" distL="0" distR="0">
          <wp:extent cx="2070841" cy="441113"/>
          <wp:effectExtent b="0" l="0" r="0" t="0"/>
          <wp:docPr descr="C:\Users\MEHERNANDEZ\Desktop\CAF Logo Color Horizontal.png" id="1" name="image1.png"/>
          <a:graphic>
            <a:graphicData uri="http://schemas.openxmlformats.org/drawingml/2006/picture">
              <pic:pic>
                <pic:nvPicPr>
                  <pic:cNvPr descr="C:\Users\MEHERNANDEZ\Desktop\CAF Logo Color Horizontal.png" id="0" name="image1.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mailto:prensa@caf.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